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24C77">
      <w:pPr>
        <w:pStyle w:val="8"/>
        <w:spacing w:after="0"/>
        <w:ind w:firstLine="576" w:firstLineChars="200"/>
        <w:jc w:val="center"/>
        <w:rPr>
          <w:rFonts w:hint="eastAsia" w:ascii="Arial" w:hAnsi="Arial" w:eastAsia="黑体" w:cs="Arial"/>
          <w:bCs/>
          <w:color w:val="auto"/>
          <w:w w:val="90"/>
          <w:sz w:val="32"/>
          <w:szCs w:val="32"/>
          <w:highlight w:val="none"/>
          <w:lang w:val="en-US" w:eastAsia="zh-CN"/>
        </w:rPr>
      </w:pPr>
      <w:r>
        <w:rPr>
          <w:rFonts w:hint="eastAsia" w:ascii="Arial" w:hAnsi="Arial" w:eastAsia="黑体" w:cs="Arial"/>
          <w:bCs/>
          <w:color w:val="auto"/>
          <w:w w:val="90"/>
          <w:sz w:val="32"/>
          <w:szCs w:val="32"/>
          <w:highlight w:val="none"/>
          <w:lang w:eastAsia="zh-CN"/>
        </w:rPr>
        <w:t>第十一届中国博物馆及相关产品与技术博览会展馆设计及搭建</w:t>
      </w:r>
      <w:r>
        <w:rPr>
          <w:rFonts w:hint="eastAsia" w:ascii="Arial" w:hAnsi="Arial" w:eastAsia="黑体" w:cs="Arial"/>
          <w:bCs/>
          <w:color w:val="auto"/>
          <w:w w:val="90"/>
          <w:sz w:val="32"/>
          <w:szCs w:val="32"/>
          <w:highlight w:val="none"/>
          <w:lang w:val="en-US" w:eastAsia="zh-CN"/>
        </w:rPr>
        <w:t>技术服务需求</w:t>
      </w:r>
    </w:p>
    <w:p w14:paraId="3EABA5EE">
      <w:pPr>
        <w:widowControl/>
        <w:adjustRightInd/>
        <w:snapToGrid/>
        <w:spacing w:line="360" w:lineRule="auto"/>
        <w:rPr>
          <w:b/>
          <w:bCs/>
        </w:rPr>
      </w:pPr>
      <w:bookmarkStart w:id="0" w:name="heading_1"/>
      <w:r>
        <w:rPr>
          <w:rFonts w:hint="eastAsia"/>
          <w:b/>
          <w:bCs/>
        </w:rPr>
        <w:t>一、项目基本信息</w:t>
      </w:r>
      <w:bookmarkEnd w:id="0"/>
    </w:p>
    <w:p w14:paraId="5A097E84">
      <w:pPr>
        <w:widowControl/>
        <w:numPr>
          <w:ilvl w:val="0"/>
          <w:numId w:val="1"/>
        </w:numPr>
        <w:adjustRightInd/>
        <w:snapToGrid/>
        <w:spacing w:line="360" w:lineRule="auto"/>
      </w:pPr>
      <w:r>
        <w:rPr>
          <w:rFonts w:hint="eastAsia"/>
        </w:rPr>
        <w:t>展会名称：第十一届中国博物馆及相关产品与技术博览会（博博会）</w:t>
      </w:r>
    </w:p>
    <w:p w14:paraId="39476CBD">
      <w:pPr>
        <w:widowControl/>
        <w:numPr>
          <w:ilvl w:val="0"/>
          <w:numId w:val="1"/>
        </w:numPr>
        <w:adjustRightInd/>
        <w:snapToGrid/>
        <w:spacing w:line="360" w:lineRule="auto"/>
      </w:pPr>
      <w:r>
        <w:rPr>
          <w:rFonts w:hint="eastAsia"/>
        </w:rPr>
        <w:t>展会主题：“高质量发展的博物馆：科技赋能 联结未来”</w:t>
      </w:r>
    </w:p>
    <w:p w14:paraId="04235FE3">
      <w:pPr>
        <w:widowControl/>
        <w:numPr>
          <w:ilvl w:val="0"/>
          <w:numId w:val="1"/>
        </w:numPr>
        <w:adjustRightInd/>
        <w:snapToGrid/>
        <w:spacing w:line="360" w:lineRule="auto"/>
      </w:pPr>
      <w:r>
        <w:rPr>
          <w:rFonts w:hint="eastAsia"/>
        </w:rPr>
        <w:t>举办地点：海南国际会展中心（海口）</w:t>
      </w:r>
    </w:p>
    <w:p w14:paraId="5C22370B">
      <w:pPr>
        <w:widowControl/>
        <w:numPr>
          <w:ilvl w:val="0"/>
          <w:numId w:val="1"/>
        </w:numPr>
        <w:adjustRightInd/>
        <w:snapToGrid/>
        <w:spacing w:line="360" w:lineRule="auto"/>
      </w:pPr>
      <w:r>
        <w:rPr>
          <w:rFonts w:hint="eastAsia"/>
        </w:rPr>
        <w:t>举办时间：2026 年 11 月 13 日 —11 月 16 日</w:t>
      </w:r>
    </w:p>
    <w:p w14:paraId="27A687F3">
      <w:pPr>
        <w:widowControl/>
        <w:numPr>
          <w:ilvl w:val="0"/>
          <w:numId w:val="1"/>
        </w:numPr>
        <w:adjustRightInd/>
        <w:snapToGrid/>
        <w:spacing w:line="360" w:lineRule="auto"/>
      </w:pPr>
      <w:r>
        <w:rPr>
          <w:rFonts w:hint="eastAsia"/>
        </w:rPr>
        <w:t>展位编号：“第十一届中国博物馆及相关产品与技术博览会” 2 号馆博物馆M 区 光地 展位，面积 135 平方米，位于 2M06 号位置。</w:t>
      </w:r>
    </w:p>
    <w:p w14:paraId="3ABA3EC8">
      <w:pPr>
        <w:widowControl/>
        <w:numPr>
          <w:ilvl w:val="0"/>
          <w:numId w:val="1"/>
        </w:numPr>
        <w:adjustRightInd/>
        <w:snapToGrid/>
        <w:spacing w:line="360" w:lineRule="auto"/>
      </w:pPr>
      <w:r>
        <w:rPr>
          <w:rFonts w:hint="eastAsia"/>
        </w:rPr>
        <w:t>项目内容：展位整体方案设计、效果图、全套施工施工图、展馆报审图纸、工厂制作、现场搭建、强弱电施工、多媒体设备安装调试、展品陈列、展期驻场运维、全程安全保障、撤展清运、场地复原一体化总包服务。</w:t>
      </w:r>
    </w:p>
    <w:p w14:paraId="16075FC4">
      <w:pPr>
        <w:widowControl/>
        <w:numPr>
          <w:ilvl w:val="0"/>
          <w:numId w:val="1"/>
        </w:numPr>
        <w:adjustRightInd/>
        <w:snapToGrid/>
        <w:spacing w:line="360" w:lineRule="auto"/>
      </w:pPr>
      <w:r>
        <w:rPr>
          <w:rFonts w:hint="eastAsia"/>
        </w:rPr>
        <w:t>执行标准：严格遵守本届博博会组委会参展手册、展馆施工规范、消防验收标准、文博行业展示审美规范，图纸 100% 通过官方报审、现场一次验收合格、无整改、无安全事故。</w:t>
      </w:r>
    </w:p>
    <w:p w14:paraId="33F1A544">
      <w:pPr>
        <w:widowControl/>
        <w:adjustRightInd/>
        <w:snapToGrid/>
        <w:spacing w:line="360" w:lineRule="auto"/>
        <w:rPr>
          <w:rFonts w:eastAsia="宋体"/>
          <w:b/>
          <w:bCs/>
        </w:rPr>
      </w:pPr>
      <w:bookmarkStart w:id="1" w:name="heading_2"/>
      <w:r>
        <w:rPr>
          <w:rFonts w:hint="eastAsia"/>
          <w:b/>
          <w:bCs/>
        </w:rPr>
        <w:t>二、整体设计核心</w:t>
      </w:r>
      <w:bookmarkEnd w:id="1"/>
      <w:r>
        <w:rPr>
          <w:rFonts w:hint="eastAsia"/>
          <w:b/>
          <w:bCs/>
        </w:rPr>
        <w:t>要求</w:t>
      </w:r>
    </w:p>
    <w:p w14:paraId="585DEAFB">
      <w:pPr>
        <w:widowControl/>
        <w:adjustRightInd/>
        <w:snapToGrid/>
        <w:spacing w:line="360" w:lineRule="auto"/>
        <w:ind w:firstLine="480" w:firstLineChars="200"/>
      </w:pPr>
      <w:r>
        <w:rPr>
          <w:rFonts w:hint="eastAsia"/>
        </w:rPr>
        <w:t>整体设计必须深度落地本届博博会核心主旨 “高质量发展的博物馆：科技赋能 联结未来”，整体气质贴合文博行业庄重、雅致、专业、数字化、未来感，避免网红花哨、低俗造型，做到文化厚重感 + 数字科技感 + 高端商务感三者融合。</w:t>
      </w:r>
    </w:p>
    <w:p w14:paraId="260C91C0">
      <w:pPr>
        <w:widowControl/>
        <w:numPr>
          <w:ilvl w:val="0"/>
          <w:numId w:val="2"/>
        </w:numPr>
        <w:adjustRightInd/>
        <w:snapToGrid/>
        <w:spacing w:line="360" w:lineRule="auto"/>
      </w:pPr>
      <w:r>
        <w:rPr>
          <w:rFonts w:hint="eastAsia"/>
        </w:rPr>
        <w:t>高质量发展：空间规整、材质高级、做工精细、展陈逻辑专业，体现文博行业标准化、精品化、规范化高质量发展理念。</w:t>
      </w:r>
    </w:p>
    <w:p w14:paraId="4B40422C">
      <w:pPr>
        <w:widowControl/>
        <w:numPr>
          <w:ilvl w:val="0"/>
          <w:numId w:val="2"/>
        </w:numPr>
        <w:adjustRightInd/>
        <w:snapToGrid/>
        <w:spacing w:line="360" w:lineRule="auto"/>
      </w:pPr>
      <w:r>
        <w:rPr>
          <w:rFonts w:hint="eastAsia"/>
        </w:rPr>
        <w:t>科技赋能：融入数字展陈、光影科技、动态可视化、智能交互元素，体现文物活化、博物馆数字化、文博科创应用成果。</w:t>
      </w:r>
    </w:p>
    <w:p w14:paraId="7B378080">
      <w:pPr>
        <w:widowControl/>
        <w:numPr>
          <w:ilvl w:val="0"/>
          <w:numId w:val="2"/>
        </w:numPr>
        <w:adjustRightInd/>
        <w:snapToGrid/>
        <w:spacing w:line="360" w:lineRule="auto"/>
      </w:pPr>
      <w:r>
        <w:rPr>
          <w:rFonts w:hint="eastAsia"/>
        </w:rPr>
        <w:t>联结未来：动线通透、视野开阔、造型简约现代，呈现文博传承与未来创新融合、行业互联互通的发展趋势。</w:t>
      </w:r>
    </w:p>
    <w:p w14:paraId="1B49ABA2">
      <w:pPr>
        <w:widowControl/>
        <w:adjustRightInd/>
        <w:snapToGrid/>
        <w:spacing w:line="360" w:lineRule="auto"/>
        <w:rPr>
          <w:b/>
          <w:bCs/>
        </w:rPr>
      </w:pPr>
      <w:bookmarkStart w:id="2" w:name="heading_3"/>
      <w:r>
        <w:rPr>
          <w:rFonts w:hint="eastAsia"/>
          <w:b/>
          <w:bCs/>
        </w:rPr>
        <w:t>三、整体风格与空间要求</w:t>
      </w:r>
      <w:bookmarkEnd w:id="2"/>
    </w:p>
    <w:p w14:paraId="744A2683">
      <w:pPr>
        <w:widowControl/>
        <w:numPr>
          <w:ilvl w:val="0"/>
          <w:numId w:val="3"/>
        </w:numPr>
        <w:adjustRightInd/>
        <w:snapToGrid/>
        <w:spacing w:line="360" w:lineRule="auto"/>
      </w:pPr>
      <w:r>
        <w:rPr>
          <w:rFonts w:hint="eastAsia"/>
        </w:rPr>
        <w:t>风格定位：现代文博极简风、庄重大气、素雅高级、光影层次干净，适配博物馆系统、文旅主管单位、文博企业参观洽谈场景。</w:t>
      </w:r>
    </w:p>
    <w:p w14:paraId="5BB4666D">
      <w:pPr>
        <w:widowControl/>
        <w:numPr>
          <w:ilvl w:val="0"/>
          <w:numId w:val="3"/>
        </w:numPr>
        <w:adjustRightInd/>
        <w:snapToGrid/>
        <w:spacing w:line="360" w:lineRule="auto"/>
      </w:pPr>
      <w:r>
        <w:rPr>
          <w:rFonts w:hint="eastAsia"/>
        </w:rPr>
        <w:t>功能分区硬性要求：主形象主题区、文博科技成果展示区、多媒体互动体验区、商务洽谈区、设备收纳隐蔽区，分区清晰、动线流畅、互不干扰。</w:t>
      </w:r>
    </w:p>
    <w:p w14:paraId="32CA40BC">
      <w:pPr>
        <w:widowControl/>
        <w:numPr>
          <w:ilvl w:val="0"/>
          <w:numId w:val="3"/>
        </w:numPr>
        <w:adjustRightInd/>
        <w:snapToGrid/>
        <w:spacing w:line="360" w:lineRule="auto"/>
      </w:pPr>
      <w:r>
        <w:rPr>
          <w:rFonts w:hint="eastAsia"/>
        </w:rPr>
        <w:t>视觉调性：色调沉稳克制，以浅灰、深灰、雅白、低饱和科技点缀色为主；画面排版规整、文字层级专业、画面留白高级，符合官方文博展会审美。</w:t>
      </w:r>
    </w:p>
    <w:p w14:paraId="14223DAC">
      <w:pPr>
        <w:widowControl/>
        <w:numPr>
          <w:ilvl w:val="0"/>
          <w:numId w:val="3"/>
        </w:numPr>
        <w:adjustRightInd/>
        <w:snapToGrid/>
        <w:spacing w:line="360" w:lineRule="auto"/>
      </w:pPr>
      <w:r>
        <w:rPr>
          <w:rFonts w:hint="eastAsia"/>
        </w:rPr>
        <w:t>氛围营造：灯光采用高显值专业展陈灯光，突出展品与内容；光影柔和、通透、高级，无刺眼频闪，整体呈现 “数字化文博、智慧博物馆” 氛围。</w:t>
      </w:r>
    </w:p>
    <w:p w14:paraId="00A4AD01">
      <w:pPr>
        <w:widowControl/>
        <w:adjustRightInd/>
        <w:snapToGrid/>
        <w:spacing w:line="360" w:lineRule="auto"/>
        <w:rPr>
          <w:b/>
          <w:bCs/>
        </w:rPr>
      </w:pPr>
      <w:bookmarkStart w:id="3" w:name="heading_4"/>
      <w:r>
        <w:rPr>
          <w:rFonts w:hint="eastAsia"/>
          <w:b/>
          <w:bCs/>
        </w:rPr>
        <w:t>四、施工与材质技术标准</w:t>
      </w:r>
      <w:bookmarkEnd w:id="3"/>
    </w:p>
    <w:p w14:paraId="488DB7B6">
      <w:pPr>
        <w:widowControl/>
        <w:numPr>
          <w:ilvl w:val="0"/>
          <w:numId w:val="4"/>
        </w:numPr>
        <w:adjustRightInd/>
        <w:snapToGrid/>
        <w:spacing w:line="360" w:lineRule="auto"/>
      </w:pPr>
      <w:r>
        <w:rPr>
          <w:rFonts w:hint="eastAsia"/>
        </w:rPr>
        <w:t>主体结构：稳固抗震、荷载达标，所有造型结构需满足展馆安全要求，悬挑、造型结构需做加固处理，提供合规施工节点。</w:t>
      </w:r>
    </w:p>
    <w:p w14:paraId="7FCD8B5E">
      <w:pPr>
        <w:widowControl/>
        <w:numPr>
          <w:ilvl w:val="0"/>
          <w:numId w:val="4"/>
        </w:numPr>
        <w:adjustRightInd/>
        <w:snapToGrid/>
        <w:spacing w:line="360" w:lineRule="auto"/>
      </w:pPr>
      <w:r>
        <w:rPr>
          <w:rFonts w:hint="eastAsia"/>
        </w:rPr>
        <w:t>板材要求：表面平整无缝、漆膜均匀、无划痕、无变形，杜绝工地粗糙质感，达到展会精品特装工艺标准。</w:t>
      </w:r>
    </w:p>
    <w:p w14:paraId="0B68A10B">
      <w:pPr>
        <w:widowControl/>
        <w:numPr>
          <w:ilvl w:val="0"/>
          <w:numId w:val="4"/>
        </w:numPr>
        <w:adjustRightInd/>
        <w:snapToGrid/>
        <w:spacing w:line="360" w:lineRule="auto"/>
      </w:pPr>
      <w:r>
        <w:rPr>
          <w:rFonts w:hint="eastAsia"/>
        </w:rPr>
        <w:t>阻燃消防：所有板材、地毯、灯箱、布艺、装饰材料全部达到 B1 级阻燃标准，可提供阻燃报告，满足展馆消防报审。</w:t>
      </w:r>
    </w:p>
    <w:p w14:paraId="47F6DB44">
      <w:pPr>
        <w:widowControl/>
        <w:numPr>
          <w:ilvl w:val="0"/>
          <w:numId w:val="4"/>
        </w:numPr>
        <w:adjustRightInd/>
        <w:snapToGrid/>
        <w:spacing w:line="360" w:lineRule="auto"/>
      </w:pPr>
      <w:r>
        <w:rPr>
          <w:rFonts w:hint="eastAsia"/>
        </w:rPr>
        <w:t>环保要求：材料低醛、低味，搭建完成无明显异味，符合大型展会室内环保标准。</w:t>
      </w:r>
    </w:p>
    <w:p w14:paraId="6446A95A">
      <w:pPr>
        <w:widowControl/>
        <w:numPr>
          <w:ilvl w:val="0"/>
          <w:numId w:val="4"/>
        </w:numPr>
        <w:adjustRightInd/>
        <w:snapToGrid/>
        <w:spacing w:line="360" w:lineRule="auto"/>
      </w:pPr>
      <w:r>
        <w:rPr>
          <w:rFonts w:hint="eastAsia"/>
        </w:rPr>
        <w:t>工艺标准：所有收口、阴阳角、拼接位精细处理，无缝工艺；LOGO、字标、画面平整不起泡、不翘边、无色差。</w:t>
      </w:r>
    </w:p>
    <w:p w14:paraId="05DBBFE2">
      <w:pPr>
        <w:widowControl/>
        <w:adjustRightInd/>
        <w:snapToGrid/>
        <w:spacing w:line="360" w:lineRule="auto"/>
      </w:pPr>
      <w:bookmarkStart w:id="4" w:name="heading_5"/>
      <w:r>
        <w:rPr>
          <w:rFonts w:hint="eastAsia"/>
          <w:b/>
          <w:bCs/>
        </w:rPr>
        <w:t>五、弱电、多媒体、智能化技术要求</w:t>
      </w:r>
      <w:bookmarkEnd w:id="4"/>
    </w:p>
    <w:p w14:paraId="5A5D00F0">
      <w:pPr>
        <w:widowControl/>
        <w:numPr>
          <w:ilvl w:val="0"/>
          <w:numId w:val="5"/>
        </w:numPr>
        <w:adjustRightInd/>
        <w:snapToGrid/>
        <w:spacing w:line="360" w:lineRule="auto"/>
      </w:pPr>
      <w:r>
        <w:rPr>
          <w:rFonts w:hint="eastAsia"/>
        </w:rPr>
        <w:t>屏幕系统：LED 屏 / 液晶屏幕安装平整、拼接缝隙均匀，播放画面高清流畅，支持视频、图文、轮播、分屏展示，适配文博成果、科技案例播放。</w:t>
      </w:r>
    </w:p>
    <w:p w14:paraId="3CF9EE19">
      <w:pPr>
        <w:widowControl/>
        <w:numPr>
          <w:ilvl w:val="0"/>
          <w:numId w:val="5"/>
        </w:numPr>
        <w:adjustRightInd/>
        <w:snapToGrid/>
        <w:spacing w:line="360" w:lineRule="auto"/>
      </w:pPr>
      <w:r>
        <w:rPr>
          <w:rFonts w:hint="eastAsia"/>
        </w:rPr>
        <w:t>灯光系统：分层氛围光 + 重点展品打光，智能均匀布光，塑造高级文博展陈质感。</w:t>
      </w:r>
    </w:p>
    <w:p w14:paraId="5B301909">
      <w:pPr>
        <w:widowControl/>
        <w:numPr>
          <w:ilvl w:val="0"/>
          <w:numId w:val="5"/>
        </w:numPr>
        <w:adjustRightInd/>
        <w:snapToGrid/>
        <w:spacing w:line="360" w:lineRule="auto"/>
      </w:pPr>
      <w:r>
        <w:rPr>
          <w:rFonts w:hint="eastAsia"/>
        </w:rPr>
        <w:t>影音系统：音量可控、清晰无杂音，严格遵守展馆分贝管理规定，不干扰邻展。</w:t>
      </w:r>
    </w:p>
    <w:p w14:paraId="5F3D53F2">
      <w:pPr>
        <w:widowControl/>
        <w:numPr>
          <w:ilvl w:val="0"/>
          <w:numId w:val="5"/>
        </w:numPr>
        <w:adjustRightInd/>
        <w:snapToGrid/>
        <w:spacing w:line="360" w:lineRule="auto"/>
      </w:pPr>
      <w:r>
        <w:rPr>
          <w:rFonts w:hint="eastAsia"/>
        </w:rPr>
        <w:t>预留拓展：预留 USB、插座、网线、设备接口，满足现场智能设备、演示设备、电脑运行需求。</w:t>
      </w:r>
    </w:p>
    <w:p w14:paraId="4ECA5769">
      <w:pPr>
        <w:widowControl/>
        <w:numPr>
          <w:ilvl w:val="0"/>
          <w:numId w:val="5"/>
        </w:numPr>
        <w:adjustRightInd/>
        <w:snapToGrid/>
        <w:spacing w:line="360" w:lineRule="auto"/>
      </w:pPr>
      <w:r>
        <w:rPr>
          <w:rFonts w:hint="eastAsia"/>
        </w:rPr>
        <w:t>多媒体内容：视频剪辑，内容甲供。</w:t>
      </w:r>
    </w:p>
    <w:p w14:paraId="43883195">
      <w:pPr>
        <w:widowControl/>
        <w:adjustRightInd/>
        <w:snapToGrid/>
        <w:spacing w:line="360" w:lineRule="auto"/>
        <w:rPr>
          <w:b/>
          <w:bCs/>
        </w:rPr>
      </w:pPr>
      <w:bookmarkStart w:id="5" w:name="heading_6"/>
      <w:r>
        <w:rPr>
          <w:rFonts w:hint="eastAsia"/>
          <w:b/>
          <w:bCs/>
        </w:rPr>
        <w:t>六、报审、工期、验收要求</w:t>
      </w:r>
      <w:bookmarkEnd w:id="5"/>
    </w:p>
    <w:p w14:paraId="5AE3042F">
      <w:pPr>
        <w:widowControl/>
        <w:numPr>
          <w:ilvl w:val="0"/>
          <w:numId w:val="6"/>
        </w:numPr>
        <w:adjustRightInd/>
        <w:snapToGrid/>
        <w:spacing w:line="360" w:lineRule="auto"/>
      </w:pPr>
      <w:r>
        <w:rPr>
          <w:rFonts w:hint="eastAsia"/>
        </w:rPr>
        <w:t>图纸报审：中标后 10日内输出全套效果图、施工图、消防图、电路图，配合完成展馆全部报审流程。</w:t>
      </w:r>
    </w:p>
    <w:p w14:paraId="52245DDC">
      <w:pPr>
        <w:widowControl/>
        <w:numPr>
          <w:ilvl w:val="0"/>
          <w:numId w:val="6"/>
        </w:numPr>
        <w:adjustRightInd/>
        <w:snapToGrid/>
        <w:spacing w:line="360" w:lineRule="auto"/>
      </w:pPr>
      <w:r>
        <w:rPr>
          <w:rFonts w:hint="eastAsia"/>
        </w:rPr>
        <w:t>施工工期：严格遵守组委会进场搭建时段，按时完工、按时验收，不拖延、不超时。</w:t>
      </w:r>
    </w:p>
    <w:p w14:paraId="58319225">
      <w:pPr>
        <w:widowControl/>
        <w:numPr>
          <w:ilvl w:val="0"/>
          <w:numId w:val="6"/>
        </w:numPr>
        <w:adjustRightInd/>
        <w:snapToGrid/>
        <w:spacing w:line="360" w:lineRule="auto"/>
      </w:pPr>
      <w:r>
        <w:rPr>
          <w:rFonts w:hint="eastAsia"/>
        </w:rPr>
        <w:t>现场验收：完工后自检、报馆检、配合组委会巡检，全程无安全隐患、无违规整改项。</w:t>
      </w:r>
    </w:p>
    <w:p w14:paraId="00C06B63">
      <w:pPr>
        <w:widowControl/>
        <w:numPr>
          <w:ilvl w:val="0"/>
          <w:numId w:val="6"/>
        </w:numPr>
        <w:adjustRightInd/>
        <w:snapToGrid/>
        <w:spacing w:line="360" w:lineRule="auto"/>
      </w:pPr>
      <w:r>
        <w:rPr>
          <w:rFonts w:hint="eastAsia"/>
        </w:rPr>
        <w:t>展期运维：展期全程驻场，设备每日巡检、故障即时修复、现场整洁维护。</w:t>
      </w:r>
    </w:p>
    <w:p w14:paraId="70E4758D">
      <w:pPr>
        <w:widowControl/>
        <w:adjustRightInd/>
        <w:snapToGrid/>
        <w:spacing w:line="360" w:lineRule="auto"/>
        <w:rPr>
          <w:b/>
          <w:bCs/>
        </w:rPr>
      </w:pPr>
      <w:bookmarkStart w:id="6" w:name="heading_7"/>
      <w:r>
        <w:rPr>
          <w:rFonts w:hint="eastAsia"/>
          <w:b/>
          <w:bCs/>
        </w:rPr>
        <w:t>七、安全与合规硬性条款</w:t>
      </w:r>
      <w:bookmarkEnd w:id="6"/>
    </w:p>
    <w:p w14:paraId="077E9218">
      <w:pPr>
        <w:widowControl/>
        <w:numPr>
          <w:ilvl w:val="0"/>
          <w:numId w:val="7"/>
        </w:numPr>
        <w:adjustRightInd/>
        <w:snapToGrid/>
        <w:spacing w:line="360" w:lineRule="auto"/>
      </w:pPr>
      <w:r>
        <w:rPr>
          <w:rFonts w:hint="eastAsia"/>
        </w:rPr>
        <w:t>严禁违规吊顶、严禁私吊馆顶、严禁超范围施工、严禁易燃易爆材料。</w:t>
      </w:r>
    </w:p>
    <w:p w14:paraId="1DB76914">
      <w:pPr>
        <w:widowControl/>
        <w:numPr>
          <w:ilvl w:val="0"/>
          <w:numId w:val="7"/>
        </w:numPr>
        <w:adjustRightInd/>
        <w:snapToGrid/>
        <w:spacing w:line="360" w:lineRule="auto"/>
      </w:pPr>
      <w:r>
        <w:rPr>
          <w:rFonts w:hint="eastAsia"/>
        </w:rPr>
        <w:t>所有施工人员持证上岗、统一着装、安全施工，遵守展馆安保管理制度。</w:t>
      </w:r>
    </w:p>
    <w:p w14:paraId="2046ED3F">
      <w:pPr>
        <w:widowControl/>
        <w:numPr>
          <w:ilvl w:val="0"/>
          <w:numId w:val="7"/>
        </w:numPr>
        <w:adjustRightInd/>
        <w:snapToGrid/>
        <w:spacing w:line="360" w:lineRule="auto"/>
      </w:pPr>
      <w:r>
        <w:rPr>
          <w:rFonts w:hint="eastAsia"/>
        </w:rPr>
        <w:t>全程零安全事故、零火情预警、零展馆违规处罚。</w:t>
      </w:r>
    </w:p>
    <w:p w14:paraId="5C086094">
      <w:pPr>
        <w:widowControl/>
        <w:adjustRightInd/>
        <w:snapToGrid/>
        <w:spacing w:line="360" w:lineRule="auto"/>
        <w:rPr>
          <w:b/>
          <w:bCs/>
        </w:rPr>
      </w:pPr>
      <w:bookmarkStart w:id="7" w:name="heading_8"/>
      <w:r>
        <w:rPr>
          <w:rFonts w:hint="eastAsia"/>
          <w:b/>
          <w:bCs/>
        </w:rPr>
        <w:t>八、撤展标准</w:t>
      </w:r>
      <w:bookmarkEnd w:id="7"/>
    </w:p>
    <w:p w14:paraId="486DEDAC">
      <w:pPr>
        <w:widowControl/>
        <w:adjustRightInd/>
        <w:snapToGrid/>
        <w:spacing w:line="360" w:lineRule="auto"/>
        <w:ind w:firstLine="480" w:firstLineChars="200"/>
      </w:pPr>
      <w:r>
        <w:rPr>
          <w:rFonts w:hint="eastAsia"/>
        </w:rPr>
        <w:t>展期结束后按时、有序、无损撤场，全部物料清运干净，地面、墙面、场地恢复原貌，无遗留垃圾、无场地损坏扣款。</w:t>
      </w:r>
    </w:p>
    <w:p w14:paraId="3C43CC81">
      <w:pPr>
        <w:spacing w:line="360" w:lineRule="auto"/>
        <w:rPr>
          <w:rFonts w:hint="eastAsia" w:ascii="宋体" w:hAnsi="宋体" w:cs="宋体"/>
        </w:rPr>
      </w:pPr>
      <w:bookmarkStart w:id="8" w:name="heading_9"/>
      <w:r>
        <w:rPr>
          <w:rFonts w:hint="eastAsia" w:ascii="宋体" w:hAnsi="宋体" w:cs="宋体"/>
          <w:b/>
          <w:bCs/>
        </w:rPr>
        <w:t>九、项目团队要求</w:t>
      </w:r>
    </w:p>
    <w:p w14:paraId="100955B8">
      <w:pPr>
        <w:spacing w:line="360" w:lineRule="auto"/>
        <w:ind w:firstLine="480" w:firstLineChars="200"/>
        <w:rPr>
          <w:rFonts w:hint="eastAsia" w:ascii="宋体" w:hAnsi="宋体" w:cs="宋体"/>
        </w:rPr>
      </w:pPr>
      <w:r>
        <w:rPr>
          <w:rFonts w:hint="eastAsia" w:ascii="宋体" w:hAnsi="宋体" w:cs="宋体"/>
        </w:rPr>
        <w:t>供应商应结合项目需求，组建专门的服务团队，提供合理的人员组织方案，服务团队人员配备齐全，具备专业能力，能够提供本项目包括概念设计、深化设计、展览施工、布展、整改等全部流程工作。项目实施实施期间，供应商需委派项目经理、相关专业设计师及技术人员驻场工作。</w:t>
      </w:r>
    </w:p>
    <w:p w14:paraId="512A3A0D">
      <w:pPr>
        <w:spacing w:line="360" w:lineRule="auto"/>
        <w:ind w:firstLine="480" w:firstLineChars="200"/>
        <w:rPr>
          <w:rFonts w:hint="eastAsia" w:ascii="宋体" w:hAnsi="宋体" w:cs="宋体"/>
        </w:rPr>
      </w:pPr>
      <w:r>
        <w:rPr>
          <w:rFonts w:hint="eastAsia" w:ascii="宋体" w:hAnsi="宋体" w:cs="宋体"/>
        </w:rPr>
        <w:t>服务团队基本要求为：</w:t>
      </w:r>
    </w:p>
    <w:p w14:paraId="5C01E621">
      <w:pPr>
        <w:numPr>
          <w:ilvl w:val="0"/>
          <w:numId w:val="8"/>
        </w:numPr>
        <w:spacing w:line="360" w:lineRule="auto"/>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rPr>
        <w:t>项目经理要求</w:t>
      </w:r>
    </w:p>
    <w:p w14:paraId="4FE65EEC">
      <w:pPr>
        <w:spacing w:line="360" w:lineRule="auto"/>
        <w:ind w:firstLine="480" w:firstLineChars="200"/>
        <w:rPr>
          <w:rFonts w:hint="eastAsia" w:ascii="宋体" w:hAnsi="宋体" w:eastAsia="宋体" w:cs="宋体"/>
        </w:rPr>
      </w:pPr>
      <w:r>
        <w:rPr>
          <w:rFonts w:hint="eastAsia" w:ascii="宋体" w:hAnsi="宋体" w:eastAsia="宋体" w:cs="宋体"/>
        </w:rPr>
        <w:t>项目经理1名，负责总体接洽，要求如下：</w:t>
      </w:r>
    </w:p>
    <w:p w14:paraId="53D462E4">
      <w:pPr>
        <w:spacing w:line="360" w:lineRule="auto"/>
        <w:ind w:firstLine="480" w:firstLineChars="200"/>
        <w:rPr>
          <w:rFonts w:hint="eastAsia" w:ascii="宋体" w:hAnsi="宋体" w:eastAsia="宋体" w:cs="宋体"/>
        </w:rPr>
      </w:pPr>
      <w:r>
        <w:rPr>
          <w:rFonts w:hint="eastAsia" w:ascii="宋体" w:hAnsi="宋体" w:eastAsia="宋体" w:cs="宋体"/>
        </w:rPr>
        <w:t>（1）具有至少三年及以上展览项目整体统筹管理工作经验。</w:t>
      </w:r>
    </w:p>
    <w:p w14:paraId="15E2B8E5">
      <w:pPr>
        <w:spacing w:line="360" w:lineRule="auto"/>
        <w:ind w:firstLine="482" w:firstLineChars="200"/>
        <w:rPr>
          <w:rFonts w:hint="eastAsia" w:ascii="宋体" w:hAnsi="宋体" w:cs="宋体"/>
          <w:b/>
          <w:bCs/>
        </w:rPr>
      </w:pPr>
      <w:r>
        <w:rPr>
          <w:rFonts w:hint="eastAsia" w:ascii="宋体" w:hAnsi="宋体" w:cs="宋体"/>
          <w:b/>
          <w:bCs/>
          <w:lang w:eastAsia="zh"/>
        </w:rPr>
        <w:t>★</w:t>
      </w:r>
      <w:r>
        <w:rPr>
          <w:rFonts w:hint="eastAsia" w:ascii="宋体" w:hAnsi="宋体" w:eastAsia="宋体" w:cs="宋体"/>
          <w:b/>
          <w:bCs/>
        </w:rPr>
        <w:t>（2）整个服务期间不得更换项目经理，且在本项目竣工验收之前该项目经理不得同时担任其它在建项目的项目经理。供应商</w:t>
      </w:r>
      <w:r>
        <w:rPr>
          <w:rFonts w:hint="eastAsia" w:ascii="宋体" w:hAnsi="宋体" w:eastAsia="宋体" w:cs="宋体"/>
          <w:b/>
          <w:bCs/>
          <w:lang w:eastAsia="zh"/>
        </w:rPr>
        <w:t>须提供承诺</w:t>
      </w:r>
      <w:r>
        <w:rPr>
          <w:rFonts w:hint="eastAsia" w:ascii="宋体" w:hAnsi="宋体" w:eastAsia="宋体" w:cs="宋体"/>
          <w:b/>
          <w:bCs/>
        </w:rPr>
        <w:t>函并加盖供应商公章</w:t>
      </w:r>
      <w:r>
        <w:rPr>
          <w:rFonts w:hint="eastAsia" w:ascii="宋体" w:hAnsi="宋体" w:cs="宋体"/>
          <w:b/>
          <w:bCs/>
        </w:rPr>
        <w:t>。承诺函内容应包含：我单位承诺，如成交，整个服务期间，本文件中列明的项目经理不更换，在本项目竣工验收之前该项目经理不同时担任其它在建项目的项目经理；如遇不可抗力等原因，我单位将以书面形式与采购人协商，经采购人同意后方可更换。</w:t>
      </w:r>
    </w:p>
    <w:p w14:paraId="35DBEA88">
      <w:pPr>
        <w:spacing w:line="360" w:lineRule="auto"/>
        <w:ind w:firstLine="482" w:firstLineChars="200"/>
        <w:rPr>
          <w:b/>
          <w:bCs/>
        </w:rPr>
      </w:pPr>
      <w:r>
        <w:rPr>
          <w:rFonts w:hint="eastAsia" w:ascii="宋体" w:hAnsi="宋体" w:eastAsia="宋体" w:cs="宋体"/>
          <w:b/>
          <w:bCs/>
          <w:szCs w:val="24"/>
        </w:rPr>
        <w:t>以上承诺函按本采购文件“第六章 应答文件格式”中“附件9-3、服务承诺函”的格式提供，若供应商应答文件中未按以上要求提供承诺函的，其投标属于无效投标。</w:t>
      </w:r>
    </w:p>
    <w:p w14:paraId="50C125DE">
      <w:pPr>
        <w:spacing w:line="360" w:lineRule="auto"/>
        <w:ind w:firstLine="480" w:firstLineChars="200"/>
        <w:rPr>
          <w:rFonts w:hint="eastAsia" w:ascii="宋体" w:hAnsi="宋体" w:cs="宋体"/>
        </w:rPr>
      </w:pPr>
      <w:r>
        <w:rPr>
          <w:rFonts w:hint="eastAsia" w:ascii="宋体" w:hAnsi="宋体" w:cs="宋体"/>
        </w:rPr>
        <w:t>（3）项目经理具备建筑工程专业二级（含）以上注册建造师证书及安全生产考核合格证书B本的有效证书。</w:t>
      </w:r>
    </w:p>
    <w:p w14:paraId="1CD693E9">
      <w:pPr>
        <w:spacing w:line="360" w:lineRule="auto"/>
        <w:rPr>
          <w:rFonts w:hint="eastAsia" w:ascii="宋体" w:hAnsi="宋体" w:cs="宋体"/>
        </w:rPr>
      </w:pPr>
      <w:r>
        <w:rPr>
          <w:rFonts w:hint="eastAsia" w:ascii="宋体" w:hAnsi="宋体" w:cs="宋体"/>
        </w:rPr>
        <w:t>2</w:t>
      </w:r>
      <w:r>
        <w:rPr>
          <w:rFonts w:hint="eastAsia" w:ascii="宋体" w:hAnsi="宋体" w:cs="宋体"/>
          <w:lang w:eastAsia="zh-CN"/>
        </w:rPr>
        <w:t>.</w:t>
      </w:r>
      <w:r>
        <w:rPr>
          <w:rFonts w:hint="eastAsia" w:ascii="宋体" w:hAnsi="宋体" w:cs="宋体"/>
          <w:lang w:val="en-US" w:eastAsia="zh-CN"/>
        </w:rPr>
        <w:t xml:space="preserve">  </w:t>
      </w:r>
      <w:r>
        <w:rPr>
          <w:rFonts w:hint="eastAsia" w:ascii="宋体" w:hAnsi="宋体" w:cs="宋体"/>
        </w:rPr>
        <w:t>总设计师1名，具有工艺美术或建筑设计或文博系列高级职称，具有至少三年及以上展览项目设计工作经验，进行空间设计并与采购人展览主创接洽。</w:t>
      </w:r>
    </w:p>
    <w:p w14:paraId="6EF51873">
      <w:pPr>
        <w:spacing w:line="360" w:lineRule="auto"/>
        <w:rPr>
          <w:rFonts w:hint="eastAsia" w:ascii="宋体" w:hAnsi="宋体" w:cs="宋体"/>
        </w:rPr>
      </w:pPr>
      <w:r>
        <w:rPr>
          <w:rFonts w:hint="eastAsia" w:ascii="宋体" w:hAnsi="宋体" w:cs="宋体"/>
        </w:rPr>
        <w:t>3</w:t>
      </w:r>
      <w:r>
        <w:rPr>
          <w:rFonts w:hint="eastAsia" w:ascii="宋体" w:hAnsi="宋体" w:cs="宋体"/>
          <w:lang w:eastAsia="zh-CN"/>
        </w:rPr>
        <w:t>.</w:t>
      </w:r>
      <w:r>
        <w:rPr>
          <w:rFonts w:hint="eastAsia" w:ascii="宋体" w:hAnsi="宋体" w:cs="宋体"/>
          <w:lang w:val="en-US" w:eastAsia="zh-CN"/>
        </w:rPr>
        <w:t xml:space="preserve">  </w:t>
      </w:r>
      <w:r>
        <w:rPr>
          <w:rFonts w:hint="eastAsia" w:ascii="宋体" w:hAnsi="宋体" w:cs="宋体"/>
        </w:rPr>
        <w:t>设计团队人员（除总设计师以外）具备与本项目陈列展览设计或环境艺术设计或视觉传达设计或动画设计或多媒体设计等设计内容相关的中级（含）以上职称，包括但不限于：</w:t>
      </w:r>
    </w:p>
    <w:p w14:paraId="4BB7E691">
      <w:pPr>
        <w:spacing w:line="360" w:lineRule="auto"/>
        <w:ind w:firstLine="480" w:firstLineChars="200"/>
        <w:rPr>
          <w:rFonts w:hint="eastAsia" w:ascii="宋体" w:hAnsi="宋体" w:cs="宋体"/>
        </w:rPr>
      </w:pPr>
      <w:r>
        <w:rPr>
          <w:rFonts w:hint="eastAsia" w:ascii="宋体" w:hAnsi="宋体" w:cs="宋体"/>
        </w:rPr>
        <w:t>2名柜内设计师，进行展品点位和柜内展托展具的设计；</w:t>
      </w:r>
    </w:p>
    <w:p w14:paraId="69152D01">
      <w:pPr>
        <w:spacing w:line="360" w:lineRule="auto"/>
        <w:ind w:firstLine="480" w:firstLineChars="200"/>
        <w:rPr>
          <w:rFonts w:hint="eastAsia" w:ascii="宋体" w:hAnsi="宋体" w:cs="宋体"/>
        </w:rPr>
      </w:pPr>
      <w:r>
        <w:rPr>
          <w:rFonts w:hint="eastAsia" w:ascii="宋体" w:hAnsi="宋体" w:cs="宋体"/>
        </w:rPr>
        <w:t>1名施工图设计师，绘制施工图纸并与施工现场沟通；</w:t>
      </w:r>
    </w:p>
    <w:p w14:paraId="6C6C6184">
      <w:pPr>
        <w:spacing w:line="360" w:lineRule="auto"/>
        <w:ind w:firstLine="480" w:firstLineChars="200"/>
        <w:rPr>
          <w:rFonts w:hint="eastAsia" w:ascii="宋体" w:hAnsi="宋体" w:cs="宋体"/>
        </w:rPr>
      </w:pPr>
      <w:r>
        <w:rPr>
          <w:rFonts w:hint="eastAsia" w:ascii="宋体" w:hAnsi="宋体" w:cs="宋体"/>
        </w:rPr>
        <w:t>1名3D设计师，绘制效果图；</w:t>
      </w:r>
    </w:p>
    <w:p w14:paraId="14E60336">
      <w:pPr>
        <w:spacing w:line="360" w:lineRule="auto"/>
        <w:ind w:firstLine="480" w:firstLineChars="200"/>
        <w:rPr>
          <w:rFonts w:hint="eastAsia" w:ascii="宋体" w:hAnsi="宋体" w:cs="宋体"/>
        </w:rPr>
      </w:pPr>
      <w:r>
        <w:rPr>
          <w:rFonts w:hint="eastAsia" w:ascii="宋体" w:hAnsi="宋体" w:cs="宋体"/>
        </w:rPr>
        <w:t>3名平面设计师，进行广告、开幕式背板、展板、说明牌等项目的设计，并配合方案汇报、线上宣传进行相关项目的设计；</w:t>
      </w:r>
    </w:p>
    <w:p w14:paraId="5715E4A4">
      <w:pPr>
        <w:spacing w:line="360" w:lineRule="auto"/>
        <w:ind w:firstLine="480" w:firstLineChars="200"/>
        <w:rPr>
          <w:rFonts w:hint="eastAsia" w:ascii="宋体" w:hAnsi="宋体" w:cs="宋体"/>
        </w:rPr>
      </w:pPr>
      <w:r>
        <w:rPr>
          <w:rFonts w:hint="eastAsia" w:ascii="宋体" w:hAnsi="宋体" w:cs="宋体"/>
        </w:rPr>
        <w:t>1名多媒体设计师，进行多媒体项目的设计；</w:t>
      </w:r>
    </w:p>
    <w:p w14:paraId="7DF13FFD">
      <w:pPr>
        <w:spacing w:line="360" w:lineRule="auto"/>
        <w:ind w:firstLine="480" w:firstLineChars="200"/>
        <w:rPr>
          <w:rFonts w:hint="eastAsia" w:ascii="宋体" w:hAnsi="宋体" w:cs="宋体"/>
        </w:rPr>
      </w:pPr>
      <w:r>
        <w:rPr>
          <w:rFonts w:hint="eastAsia" w:ascii="宋体" w:hAnsi="宋体" w:cs="宋体"/>
        </w:rPr>
        <w:t>1名新媒体设计师，对展览进行线上的宣传推介和观众互动项目的设计。</w:t>
      </w:r>
    </w:p>
    <w:p w14:paraId="2B30DA00">
      <w:pPr>
        <w:spacing w:line="360" w:lineRule="auto"/>
        <w:ind w:firstLine="480" w:firstLineChars="200"/>
        <w:rPr>
          <w:rFonts w:hint="eastAsia" w:ascii="宋体" w:hAnsi="宋体" w:cs="宋体"/>
        </w:rPr>
      </w:pPr>
      <w:r>
        <w:rPr>
          <w:rFonts w:hint="eastAsia" w:ascii="宋体" w:hAnsi="宋体" w:cs="宋体"/>
        </w:rPr>
        <w:t>供应商需根据项目进展情况及采购人工作需求，对参与项目的人员进行补充和调剂。供应商成交后应提供本次项目施工和设计团队人员详细名单。</w:t>
      </w:r>
    </w:p>
    <w:p w14:paraId="0C280D0B">
      <w:pPr>
        <w:numPr>
          <w:ilvl w:val="0"/>
          <w:numId w:val="7"/>
        </w:numPr>
        <w:spacing w:line="360" w:lineRule="auto"/>
        <w:ind w:left="425" w:leftChars="0" w:hanging="425" w:firstLineChars="0"/>
        <w:rPr>
          <w:rFonts w:hint="eastAsia" w:ascii="宋体" w:hAnsi="宋体" w:cs="宋体"/>
        </w:rPr>
      </w:pPr>
      <w:r>
        <w:rPr>
          <w:rFonts w:hint="eastAsia" w:ascii="宋体" w:hAnsi="宋体" w:cs="宋体"/>
        </w:rPr>
        <w:t>设计团队在服务期间根据采购人要求在采购人指定地点驻场办公，采购人不提供办公设备。</w:t>
      </w:r>
    </w:p>
    <w:p w14:paraId="778906B4">
      <w:pPr>
        <w:widowControl/>
        <w:adjustRightInd/>
        <w:snapToGrid/>
        <w:spacing w:line="360" w:lineRule="auto"/>
        <w:rPr>
          <w:b/>
          <w:bCs/>
        </w:rPr>
      </w:pPr>
      <w:r>
        <w:rPr>
          <w:rFonts w:hint="eastAsia"/>
          <w:b/>
          <w:bCs/>
        </w:rPr>
        <w:t>十、报价包干范围</w:t>
      </w:r>
      <w:bookmarkEnd w:id="8"/>
    </w:p>
    <w:p w14:paraId="5ED331EE">
      <w:pPr>
        <w:widowControl/>
        <w:adjustRightInd/>
        <w:snapToGrid/>
        <w:spacing w:line="360" w:lineRule="auto"/>
        <w:ind w:firstLine="480" w:firstLineChars="200"/>
      </w:pPr>
      <w:r>
        <w:rPr>
          <w:rFonts w:hint="eastAsia"/>
        </w:rPr>
        <w:t>本次报价为全包总价，含：设计费、效果图施工图费、材料、制作、运输、搭建、人工、辅材、强弱电、报馆费、管理费、运维、清洁、撤展、垃圾清运、税费、风险金等以及展位电费、配电箱租赁、保险费、展位垃圾清运费、叉车、吊装、加班等所有费用，中标后无任何增项加价。</w:t>
      </w:r>
    </w:p>
    <w:p w14:paraId="672F721E">
      <w:pPr>
        <w:widowControl/>
        <w:adjustRightInd/>
        <w:snapToGrid/>
        <w:spacing w:line="360" w:lineRule="auto"/>
        <w:rPr>
          <w:b/>
          <w:bCs/>
        </w:rPr>
      </w:pPr>
      <w:r>
        <w:rPr>
          <w:rFonts w:hint="eastAsia"/>
          <w:b/>
          <w:bCs/>
        </w:rPr>
        <w:t>十一、知识产权</w:t>
      </w:r>
    </w:p>
    <w:p w14:paraId="2239D000">
      <w:pPr>
        <w:spacing w:line="360" w:lineRule="auto"/>
        <w:ind w:firstLine="480" w:firstLineChars="200"/>
        <w:rPr>
          <w:rFonts w:hint="eastAsia" w:ascii="宋体" w:hAnsi="宋体" w:cs="仿宋"/>
        </w:rPr>
      </w:pPr>
      <w:r>
        <w:rPr>
          <w:rFonts w:hint="eastAsia" w:ascii="宋体" w:hAnsi="宋体" w:cs="仿宋"/>
          <w:bCs/>
        </w:rPr>
        <w:t>采购人</w:t>
      </w:r>
      <w:r>
        <w:rPr>
          <w:rFonts w:hint="eastAsia" w:ascii="宋体" w:hAnsi="宋体" w:cs="仿宋"/>
        </w:rPr>
        <w:t>对本项目提供的相关资料，不限于图纸、大纲、文物照片等，具有合法的知识产权及所有权，该部分文件资料仅限于供应商在本项目中使用。</w:t>
      </w:r>
    </w:p>
    <w:p w14:paraId="1EED6772">
      <w:pPr>
        <w:spacing w:line="360" w:lineRule="auto"/>
        <w:ind w:firstLine="480" w:firstLineChars="200"/>
        <w:rPr>
          <w:rFonts w:hint="eastAsia" w:ascii="宋体" w:hAnsi="宋体" w:cs="仿宋"/>
        </w:rPr>
      </w:pPr>
      <w:r>
        <w:rPr>
          <w:rFonts w:hint="eastAsia" w:ascii="宋体" w:hAnsi="宋体" w:cs="仿宋"/>
        </w:rPr>
        <w:t>供应商提供的与该项目有关的所有文件资料（包括但不限于图纸、图片等）均为其实际创作或拥有合法的权力和知识产权。</w:t>
      </w:r>
    </w:p>
    <w:p w14:paraId="14A632EB">
      <w:pPr>
        <w:spacing w:line="360" w:lineRule="auto"/>
        <w:ind w:firstLine="480" w:firstLineChars="200"/>
        <w:rPr>
          <w:rFonts w:hint="eastAsia" w:ascii="宋体" w:hAnsi="宋体" w:cs="仿宋"/>
        </w:rPr>
      </w:pPr>
      <w:r>
        <w:rPr>
          <w:rFonts w:hint="eastAsia" w:ascii="宋体" w:hAnsi="宋体" w:cs="仿宋"/>
        </w:rPr>
        <w:t>供应商在与</w:t>
      </w:r>
      <w:r>
        <w:rPr>
          <w:rFonts w:hint="eastAsia" w:ascii="宋体" w:hAnsi="宋体" w:cs="仿宋"/>
          <w:bCs/>
        </w:rPr>
        <w:t>采购人</w:t>
      </w:r>
      <w:r>
        <w:rPr>
          <w:rFonts w:hint="eastAsia" w:ascii="宋体" w:hAnsi="宋体" w:cs="仿宋"/>
        </w:rPr>
        <w:t>签订合同后，其所有与项目有关的文件资料的所有权及知识产权自动转移至</w:t>
      </w:r>
      <w:r>
        <w:rPr>
          <w:rFonts w:hint="eastAsia" w:ascii="宋体" w:hAnsi="宋体" w:cs="仿宋"/>
          <w:bCs/>
        </w:rPr>
        <w:t>采购人</w:t>
      </w:r>
      <w:r>
        <w:rPr>
          <w:rFonts w:hint="eastAsia" w:ascii="宋体" w:hAnsi="宋体" w:cs="仿宋"/>
        </w:rPr>
        <w:t>合法拥有。</w:t>
      </w:r>
    </w:p>
    <w:p w14:paraId="46FC252E">
      <w:pPr>
        <w:widowControl/>
        <w:adjustRightInd/>
        <w:snapToGrid/>
        <w:spacing w:line="360" w:lineRule="auto"/>
        <w:rPr>
          <w:b/>
          <w:bCs/>
        </w:rPr>
      </w:pPr>
      <w:bookmarkStart w:id="9" w:name="_Toc119572868"/>
      <w:r>
        <w:rPr>
          <w:rFonts w:hint="eastAsia"/>
          <w:b/>
          <w:bCs/>
        </w:rPr>
        <w:t>十二、保密要求</w:t>
      </w:r>
      <w:bookmarkEnd w:id="9"/>
    </w:p>
    <w:p w14:paraId="522B3E4F">
      <w:pPr>
        <w:spacing w:line="360" w:lineRule="auto"/>
        <w:ind w:firstLine="480" w:firstLineChars="200"/>
        <w:rPr>
          <w:rFonts w:hint="eastAsia" w:ascii="宋体" w:hAnsi="宋体" w:cs="仿宋"/>
        </w:rPr>
      </w:pPr>
      <w:r>
        <w:rPr>
          <w:rFonts w:hint="eastAsia" w:ascii="宋体" w:hAnsi="宋体" w:cs="仿宋"/>
        </w:rPr>
        <w:t>本项目</w:t>
      </w:r>
      <w:r>
        <w:rPr>
          <w:rFonts w:hint="eastAsia" w:ascii="宋体" w:hAnsi="宋体" w:cs="仿宋"/>
          <w:bCs/>
        </w:rPr>
        <w:t>采购人</w:t>
      </w:r>
      <w:r>
        <w:rPr>
          <w:rFonts w:hint="eastAsia" w:ascii="宋体" w:hAnsi="宋体" w:cs="仿宋"/>
        </w:rPr>
        <w:t>提供的相关资料，不限于图纸、大纲、文物照片等，均为保密信息，供应商不得溢出和扩散，如出意外，按照法律程序追究责任。</w:t>
      </w:r>
    </w:p>
    <w:p w14:paraId="60024C6A">
      <w:pPr>
        <w:pStyle w:val="3"/>
        <w:rPr>
          <w:rFonts w:hint="eastAsia" w:cs="仿宋"/>
        </w:rPr>
      </w:pPr>
      <w:r>
        <w:rPr>
          <w:rFonts w:hint="eastAsia" w:cs="仿宋"/>
        </w:rPr>
        <w:t>供应商从</w:t>
      </w:r>
      <w:r>
        <w:rPr>
          <w:rFonts w:hint="eastAsia" w:cs="仿宋"/>
          <w:bCs/>
        </w:rPr>
        <w:t>采购人</w:t>
      </w:r>
      <w:r>
        <w:rPr>
          <w:rFonts w:hint="eastAsia" w:cs="仿宋"/>
        </w:rPr>
        <w:t>获得的与本项目有关的所有信息资源均需保密。</w:t>
      </w:r>
    </w:p>
    <w:p w14:paraId="0A9B28FF">
      <w:pPr>
        <w:pStyle w:val="8"/>
        <w:spacing w:after="0"/>
        <w:ind w:firstLine="576" w:firstLineChars="200"/>
        <w:jc w:val="both"/>
        <w:rPr>
          <w:rFonts w:hint="eastAsia" w:ascii="Arial" w:hAnsi="Arial" w:eastAsia="黑体" w:cs="Arial"/>
          <w:bCs/>
          <w:color w:val="auto"/>
          <w:w w:val="90"/>
          <w:sz w:val="32"/>
          <w:szCs w:val="32"/>
          <w:highlight w:val="none"/>
          <w:lang w:val="en-US" w:eastAsia="zh-CN"/>
        </w:rPr>
      </w:pPr>
      <w:bookmarkStart w:id="10" w:name="_GoBack"/>
      <w:bookmarkEnd w:id="1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9D35"/>
    <w:multiLevelType w:val="singleLevel"/>
    <w:tmpl w:val="96F39D35"/>
    <w:lvl w:ilvl="0" w:tentative="0">
      <w:start w:val="1"/>
      <w:numFmt w:val="decimal"/>
      <w:lvlText w:val="%1."/>
      <w:lvlJc w:val="left"/>
      <w:pPr>
        <w:ind w:left="425" w:hanging="425"/>
      </w:pPr>
      <w:rPr>
        <w:rFonts w:hint="default"/>
      </w:rPr>
    </w:lvl>
  </w:abstractNum>
  <w:abstractNum w:abstractNumId="1">
    <w:nsid w:val="9C908747"/>
    <w:multiLevelType w:val="singleLevel"/>
    <w:tmpl w:val="9C908747"/>
    <w:lvl w:ilvl="0" w:tentative="0">
      <w:start w:val="1"/>
      <w:numFmt w:val="decimal"/>
      <w:suff w:val="space"/>
      <w:lvlText w:val="%1."/>
      <w:lvlJc w:val="left"/>
    </w:lvl>
  </w:abstractNum>
  <w:abstractNum w:abstractNumId="2">
    <w:nsid w:val="B3FE72FB"/>
    <w:multiLevelType w:val="singleLevel"/>
    <w:tmpl w:val="B3FE72FB"/>
    <w:lvl w:ilvl="0" w:tentative="0">
      <w:start w:val="1"/>
      <w:numFmt w:val="decimal"/>
      <w:lvlText w:val="%1."/>
      <w:lvlJc w:val="left"/>
      <w:pPr>
        <w:ind w:left="425" w:hanging="425"/>
      </w:pPr>
      <w:rPr>
        <w:rFonts w:hint="default"/>
      </w:rPr>
    </w:lvl>
  </w:abstractNum>
  <w:abstractNum w:abstractNumId="3">
    <w:nsid w:val="DD9B966C"/>
    <w:multiLevelType w:val="singleLevel"/>
    <w:tmpl w:val="DD9B966C"/>
    <w:lvl w:ilvl="0" w:tentative="0">
      <w:start w:val="1"/>
      <w:numFmt w:val="decimal"/>
      <w:lvlText w:val="%1."/>
      <w:lvlJc w:val="left"/>
      <w:pPr>
        <w:ind w:left="425" w:hanging="425"/>
      </w:pPr>
      <w:rPr>
        <w:rFonts w:hint="default"/>
      </w:rPr>
    </w:lvl>
  </w:abstractNum>
  <w:abstractNum w:abstractNumId="4">
    <w:nsid w:val="FAF7A314"/>
    <w:multiLevelType w:val="singleLevel"/>
    <w:tmpl w:val="FAF7A314"/>
    <w:lvl w:ilvl="0" w:tentative="0">
      <w:start w:val="1"/>
      <w:numFmt w:val="decimal"/>
      <w:lvlText w:val="%1."/>
      <w:lvlJc w:val="left"/>
      <w:pPr>
        <w:ind w:left="425" w:hanging="425"/>
      </w:pPr>
      <w:rPr>
        <w:rFonts w:hint="default"/>
      </w:rPr>
    </w:lvl>
  </w:abstractNum>
  <w:abstractNum w:abstractNumId="5">
    <w:nsid w:val="FDB6FC54"/>
    <w:multiLevelType w:val="singleLevel"/>
    <w:tmpl w:val="FDB6FC54"/>
    <w:lvl w:ilvl="0" w:tentative="0">
      <w:start w:val="1"/>
      <w:numFmt w:val="decimal"/>
      <w:lvlText w:val="%1."/>
      <w:lvlJc w:val="left"/>
      <w:pPr>
        <w:ind w:left="425" w:hanging="425"/>
      </w:pPr>
      <w:rPr>
        <w:rFonts w:hint="default"/>
      </w:rPr>
    </w:lvl>
  </w:abstractNum>
  <w:abstractNum w:abstractNumId="6">
    <w:nsid w:val="FF6A90A2"/>
    <w:multiLevelType w:val="singleLevel"/>
    <w:tmpl w:val="FF6A90A2"/>
    <w:lvl w:ilvl="0" w:tentative="0">
      <w:start w:val="1"/>
      <w:numFmt w:val="decimal"/>
      <w:lvlText w:val="%1."/>
      <w:lvlJc w:val="left"/>
      <w:pPr>
        <w:ind w:left="425" w:hanging="425"/>
      </w:pPr>
      <w:rPr>
        <w:rFonts w:hint="default"/>
      </w:rPr>
    </w:lvl>
  </w:abstractNum>
  <w:abstractNum w:abstractNumId="7">
    <w:nsid w:val="7C7FBED2"/>
    <w:multiLevelType w:val="singleLevel"/>
    <w:tmpl w:val="7C7FBED2"/>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7"/>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155D4"/>
    <w:rsid w:val="048707FB"/>
    <w:rsid w:val="05F95DD7"/>
    <w:rsid w:val="07767BC9"/>
    <w:rsid w:val="08AC34C9"/>
    <w:rsid w:val="0FD34206"/>
    <w:rsid w:val="103E38B5"/>
    <w:rsid w:val="117074AB"/>
    <w:rsid w:val="14DD4BC8"/>
    <w:rsid w:val="15691B0A"/>
    <w:rsid w:val="15DE21ED"/>
    <w:rsid w:val="16685D83"/>
    <w:rsid w:val="183A4ED5"/>
    <w:rsid w:val="189B0DEC"/>
    <w:rsid w:val="18A05273"/>
    <w:rsid w:val="21987C13"/>
    <w:rsid w:val="2384703A"/>
    <w:rsid w:val="255E785B"/>
    <w:rsid w:val="28673056"/>
    <w:rsid w:val="2BC01AD4"/>
    <w:rsid w:val="32FD1AFC"/>
    <w:rsid w:val="333F0CA1"/>
    <w:rsid w:val="368262B7"/>
    <w:rsid w:val="37B54672"/>
    <w:rsid w:val="381F40A2"/>
    <w:rsid w:val="3AA76555"/>
    <w:rsid w:val="3E2D328B"/>
    <w:rsid w:val="44174342"/>
    <w:rsid w:val="480D526D"/>
    <w:rsid w:val="4CD96C7F"/>
    <w:rsid w:val="4E112DB9"/>
    <w:rsid w:val="51A57002"/>
    <w:rsid w:val="522D01E0"/>
    <w:rsid w:val="57C24009"/>
    <w:rsid w:val="59DD7B7C"/>
    <w:rsid w:val="5A432DA3"/>
    <w:rsid w:val="5F8836EC"/>
    <w:rsid w:val="5FCE63DD"/>
    <w:rsid w:val="60CC2CDD"/>
    <w:rsid w:val="663C7252"/>
    <w:rsid w:val="68C3086F"/>
    <w:rsid w:val="72563C24"/>
    <w:rsid w:val="731D5BEB"/>
    <w:rsid w:val="7F5027ED"/>
    <w:rsid w:val="7FA3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00" w:lineRule="auto"/>
      <w:jc w:val="both"/>
    </w:pPr>
    <w:rPr>
      <w:rFonts w:asciiTheme="minorEastAsia" w:hAnsiTheme="minorHAnsi" w:eastAsiaTheme="minorEastAsia" w:cstheme="minorBidi"/>
      <w:kern w:val="2"/>
      <w:sz w:val="24"/>
      <w:szCs w:val="21"/>
      <w:lang w:val="en-US" w:eastAsia="zh-CN" w:bidi="ar-SA"/>
    </w:rPr>
  </w:style>
  <w:style w:type="paragraph" w:styleId="2">
    <w:name w:val="heading 1"/>
    <w:basedOn w:val="1"/>
    <w:next w:val="1"/>
    <w:qFormat/>
    <w:uiPriority w:val="9"/>
    <w:pPr>
      <w:keepNext/>
      <w:keepLines/>
      <w:spacing w:line="360" w:lineRule="auto"/>
      <w:ind w:firstLine="723" w:firstLineChars="200"/>
      <w:jc w:val="center"/>
      <w:outlineLvl w:val="0"/>
    </w:pPr>
    <w:rPr>
      <w:rFonts w:ascii="Arial" w:hAnsi="Arial" w:eastAsia="黑体" w:cs="Arial"/>
      <w:b/>
      <w:bCs/>
      <w:kern w:val="44"/>
      <w:sz w:val="36"/>
      <w:szCs w:val="36"/>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adjustRightInd/>
      <w:snapToGrid/>
      <w:spacing w:line="360" w:lineRule="auto"/>
      <w:ind w:firstLine="480" w:firstLineChars="200"/>
    </w:pPr>
    <w:rPr>
      <w:rFonts w:ascii="宋体" w:hAnsi="宋体" w:eastAsia="宋体" w:cs="Times New Roman"/>
      <w:szCs w:val="24"/>
    </w:rPr>
  </w:style>
  <w:style w:type="paragraph" w:styleId="4">
    <w:name w:val="Salutation"/>
    <w:basedOn w:val="1"/>
    <w:next w:val="1"/>
    <w:qFormat/>
    <w:uiPriority w:val="0"/>
    <w:pPr>
      <w:adjustRightInd/>
      <w:snapToGrid/>
      <w:spacing w:line="240" w:lineRule="auto"/>
    </w:pPr>
    <w:rPr>
      <w:rFonts w:ascii="Times New Roman" w:hAnsi="Times New Roman" w:eastAsia="宋体" w:cs="Times New Roman"/>
      <w:sz w:val="21"/>
      <w:szCs w:val="20"/>
    </w:rPr>
  </w:style>
  <w:style w:type="paragraph" w:styleId="5">
    <w:name w:val="Body Text"/>
    <w:basedOn w:val="1"/>
    <w:next w:val="1"/>
    <w:qFormat/>
    <w:uiPriority w:val="0"/>
    <w:pPr>
      <w:tabs>
        <w:tab w:val="left" w:pos="330"/>
      </w:tabs>
      <w:spacing w:before="120" w:line="360" w:lineRule="auto"/>
    </w:pPr>
    <w:rPr>
      <w:rFonts w:ascii="宋体" w:hAnsi="宋体" w:cs="Times New Roman"/>
    </w:rPr>
  </w:style>
  <w:style w:type="paragraph" w:styleId="6">
    <w:name w:val="Body Text Indent"/>
    <w:basedOn w:val="1"/>
    <w:semiHidden/>
    <w:unhideWhenUsed/>
    <w:qFormat/>
    <w:uiPriority w:val="99"/>
    <w:pPr>
      <w:spacing w:after="120"/>
      <w:ind w:left="420" w:leftChars="200"/>
    </w:pPr>
  </w:style>
  <w:style w:type="paragraph" w:styleId="7">
    <w:name w:val="Date"/>
    <w:basedOn w:val="1"/>
    <w:next w:val="1"/>
    <w:qFormat/>
    <w:uiPriority w:val="0"/>
    <w:pPr>
      <w:adjustRightInd/>
      <w:snapToGrid/>
      <w:spacing w:line="240" w:lineRule="auto"/>
      <w:ind w:left="100" w:leftChars="2500"/>
    </w:pPr>
    <w:rPr>
      <w:rFonts w:ascii="Times New Roman" w:hAnsi="Times New Roman" w:eastAsia="宋体" w:cs="Times New Roman"/>
      <w:szCs w:val="20"/>
    </w:rPr>
  </w:style>
  <w:style w:type="paragraph" w:styleId="8">
    <w:name w:val="Body Text First Indent 2"/>
    <w:basedOn w:val="6"/>
    <w:unhideWhenUsed/>
    <w:qFormat/>
    <w:uiPriority w:val="99"/>
    <w:pPr>
      <w:tabs>
        <w:tab w:val="left" w:pos="0"/>
      </w:tabs>
      <w:spacing w:line="360" w:lineRule="auto"/>
      <w:ind w:left="0" w:leftChars="0" w:firstLine="566" w:firstLineChars="236"/>
    </w:pPr>
    <w:rPr>
      <w:rFonts w:ascii="宋体" w:hAnsi="宋体" w:eastAsia="宋体" w:cs="仿宋_GB2312"/>
      <w:szCs w:val="24"/>
    </w:rPr>
  </w:style>
  <w:style w:type="paragraph" w:customStyle="1" w:styleId="11">
    <w:name w:val="正文-首缩2字符"/>
    <w:basedOn w:val="1"/>
    <w:qFormat/>
    <w:uiPriority w:val="99"/>
    <w:pPr>
      <w:spacing w:before="163" w:after="163"/>
      <w:ind w:firstLine="480" w:firstLineChars="200"/>
      <w:jc w:val="left"/>
    </w:pPr>
    <w:rPr>
      <w:rFonts w:ascii="宋体" w:hAnsi="宋体" w:cs="宋体"/>
      <w:szCs w:val="24"/>
    </w:rPr>
  </w:style>
  <w:style w:type="paragraph" w:customStyle="1" w:styleId="12">
    <w:name w:val="正文-投标邀请"/>
    <w:basedOn w:val="1"/>
    <w:qFormat/>
    <w:uiPriority w:val="0"/>
    <w:pPr>
      <w:spacing w:line="360" w:lineRule="auto"/>
    </w:pPr>
    <w:rPr>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707</Words>
  <Characters>742</Characters>
  <Lines>0</Lines>
  <Paragraphs>0</Paragraphs>
  <TotalTime>0</TotalTime>
  <ScaleCrop>false</ScaleCrop>
  <LinksUpToDate>false</LinksUpToDate>
  <CharactersWithSpaces>743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2026-01-22T02:19:00Z</dcterms:created>
  <dc:creator>Huangyao</dc:creator>
  <cp:lastModifiedBy>黄耀</cp:lastModifiedBy>
  <dcterms:modified xsi:type="dcterms:W3CDTF">2026-10-28T02:41:55Z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E9E84E6D07C544D4B6E607FD24593CD5_12</vt:lpwstr>
  </property>
  <property fmtid="{D5CDD505-2E9C-101B-9397-08002B2CF9AE}" pid="4" name="KSOTemplateDocerSaveRecord">
    <vt:lpwstr>eyJoZGlkIjoiYTY0NjU4MjRhNzFhNjdjOGExYTM4MzMzN2RhZTI4NTQiLCJ1c2VySWQiOiIxMDUwMjI5NjczIn0=</vt:lpwstr>
  </property>
</Properties>
</file>